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58C2" w14:textId="77777777" w:rsidR="009276B0" w:rsidRDefault="00000000" w:rsidP="00CC155C">
      <w:pPr>
        <w:rPr>
          <w:rFonts w:ascii="Roboto Condensed" w:eastAsia="Times New Roman" w:hAnsi="Roboto Condensed" w:cs="Times New Roman"/>
          <w:color w:val="2F9D90"/>
          <w:sz w:val="24"/>
          <w:szCs w:val="24"/>
          <w:shd w:val="clear" w:color="auto" w:fill="2F9D90"/>
        </w:rPr>
      </w:pPr>
      <w:hyperlink r:id="rId5" w:history="1">
        <w:r w:rsidR="009276B0" w:rsidRPr="00CC155C">
          <w:rPr>
            <w:rFonts w:ascii="Roboto Condensed" w:eastAsia="Times New Roman" w:hAnsi="Roboto Condensed" w:cs="Times New Roman"/>
            <w:color w:val="2F9D90"/>
            <w:sz w:val="24"/>
            <w:szCs w:val="24"/>
            <w:shd w:val="clear" w:color="auto" w:fill="2F9D90"/>
          </w:rPr>
          <w:br/>
        </w:r>
      </w:hyperlink>
    </w:p>
    <w:p w14:paraId="314C200A" w14:textId="77777777" w:rsidR="009276B0" w:rsidRDefault="009276B0" w:rsidP="009276B0">
      <w:pPr>
        <w:pStyle w:val="Heading1"/>
        <w:shd w:val="clear" w:color="auto" w:fill="F4F4F4"/>
        <w:spacing w:before="0" w:beforeAutospacing="0"/>
        <w:rPr>
          <w:caps/>
          <w:color w:val="2F9D90"/>
        </w:rPr>
      </w:pPr>
      <w:r>
        <w:rPr>
          <w:caps/>
          <w:color w:val="2F9D90"/>
        </w:rPr>
        <w:t>NATIONAL INTEGRITY FRAMEWORK</w:t>
      </w:r>
    </w:p>
    <w:p w14:paraId="5075ECA9" w14:textId="77777777" w:rsidR="009276B0" w:rsidRDefault="009276B0" w:rsidP="009276B0">
      <w:pPr>
        <w:pStyle w:val="NormalWeb"/>
        <w:shd w:val="clear" w:color="auto" w:fill="F4F4F4"/>
        <w:spacing w:before="0" w:beforeAutospacing="0"/>
      </w:pPr>
      <w:r>
        <w:t>To streamline integrity policies across sports, the National Integrity Framework has been developed by </w:t>
      </w:r>
      <w:hyperlink r:id="rId6" w:tgtFrame="_blank" w:history="1">
        <w:r>
          <w:rPr>
            <w:rStyle w:val="Hyperlink"/>
            <w:b/>
            <w:bCs/>
            <w:color w:val="2F4C9D"/>
            <w:u w:val="none"/>
          </w:rPr>
          <w:t>Sports Integrity Australia</w:t>
        </w:r>
      </w:hyperlink>
      <w:r>
        <w:t>.  Table Tennis Australia (TTA) has adopted the </w:t>
      </w:r>
      <w:hyperlink r:id="rId7" w:tgtFrame="_blank" w:history="1">
        <w:r>
          <w:rPr>
            <w:rStyle w:val="Hyperlink"/>
            <w:b/>
            <w:bCs/>
            <w:color w:val="2F4C9D"/>
            <w:u w:val="none"/>
          </w:rPr>
          <w:t>National Integrity Framework</w:t>
        </w:r>
      </w:hyperlink>
      <w:r>
        <w:t> and its associated integrity policies, which came into effect on 31 October 2022. This is an important step as it will assist in protecting our sport and members from integrity threats like harassment, bullying, abuse, illicit drugs, and competition manipulation. Moreover, the new policies replace and supersede Table Tennis Australia’s previous integrity policies, thereby ensuring that TTA is operating under a new and up-to-date framework.</w:t>
      </w:r>
    </w:p>
    <w:p w14:paraId="5704DEBE" w14:textId="1F191A57" w:rsidR="009276B0" w:rsidRDefault="009276B0" w:rsidP="009276B0">
      <w:pPr>
        <w:pStyle w:val="NormalWeb"/>
        <w:shd w:val="clear" w:color="auto" w:fill="F4F4F4"/>
        <w:spacing w:before="0" w:beforeAutospacing="0"/>
      </w:pPr>
      <w:r>
        <w:t>TTA is working with all State/Territory Associations to implement the National Integrity Framework across the sport. Table Tennis New South Wales (TTNSW) is pleased to advise that we have adopted TTA’s National Integrity Framework.</w:t>
      </w:r>
    </w:p>
    <w:p w14:paraId="70E20692" w14:textId="77777777" w:rsidR="009276B0" w:rsidRDefault="009276B0" w:rsidP="009276B0">
      <w:pPr>
        <w:pStyle w:val="NormalWeb"/>
        <w:shd w:val="clear" w:color="auto" w:fill="F4F4F4"/>
        <w:spacing w:before="0" w:beforeAutospacing="0"/>
      </w:pPr>
      <w:r>
        <w:t>By implementing the National Integrity Framework and associated policies, TTA now has six new integrity policies in place:</w:t>
      </w:r>
    </w:p>
    <w:p w14:paraId="2A23104B" w14:textId="77777777" w:rsidR="009276B0" w:rsidRDefault="009276B0" w:rsidP="009276B0">
      <w:pPr>
        <w:numPr>
          <w:ilvl w:val="0"/>
          <w:numId w:val="3"/>
        </w:numPr>
        <w:shd w:val="clear" w:color="auto" w:fill="F4F4F4"/>
        <w:spacing w:before="100" w:beforeAutospacing="1" w:after="100" w:afterAutospacing="1" w:line="240" w:lineRule="auto"/>
      </w:pPr>
      <w:r>
        <w:t>National Integrity Framework</w:t>
      </w:r>
    </w:p>
    <w:p w14:paraId="1E34CD76" w14:textId="77777777" w:rsidR="009276B0" w:rsidRDefault="009276B0" w:rsidP="009276B0">
      <w:pPr>
        <w:numPr>
          <w:ilvl w:val="0"/>
          <w:numId w:val="3"/>
        </w:numPr>
        <w:shd w:val="clear" w:color="auto" w:fill="F4F4F4"/>
        <w:spacing w:before="100" w:beforeAutospacing="1" w:after="100" w:afterAutospacing="1" w:line="240" w:lineRule="auto"/>
      </w:pPr>
      <w:r>
        <w:t>Competition Manipulation and Sports Wagering Policy</w:t>
      </w:r>
    </w:p>
    <w:p w14:paraId="6ABAF4E4" w14:textId="77777777" w:rsidR="009276B0" w:rsidRDefault="009276B0" w:rsidP="009276B0">
      <w:pPr>
        <w:numPr>
          <w:ilvl w:val="0"/>
          <w:numId w:val="3"/>
        </w:numPr>
        <w:shd w:val="clear" w:color="auto" w:fill="F4F4F4"/>
        <w:spacing w:before="100" w:beforeAutospacing="1" w:after="100" w:afterAutospacing="1" w:line="240" w:lineRule="auto"/>
      </w:pPr>
      <w:r>
        <w:t>Improper Use of Drugs and Medicine Policy</w:t>
      </w:r>
    </w:p>
    <w:p w14:paraId="2151C48B" w14:textId="77777777" w:rsidR="009276B0" w:rsidRDefault="009276B0" w:rsidP="009276B0">
      <w:pPr>
        <w:numPr>
          <w:ilvl w:val="0"/>
          <w:numId w:val="3"/>
        </w:numPr>
        <w:shd w:val="clear" w:color="auto" w:fill="F4F4F4"/>
        <w:spacing w:before="100" w:beforeAutospacing="1" w:after="100" w:afterAutospacing="1" w:line="240" w:lineRule="auto"/>
      </w:pPr>
      <w:r>
        <w:t>Child Safeguarding Policy including the SA Addendum</w:t>
      </w:r>
    </w:p>
    <w:p w14:paraId="58EDC9AF" w14:textId="77777777" w:rsidR="009276B0" w:rsidRDefault="009276B0" w:rsidP="009276B0">
      <w:pPr>
        <w:numPr>
          <w:ilvl w:val="0"/>
          <w:numId w:val="3"/>
        </w:numPr>
        <w:shd w:val="clear" w:color="auto" w:fill="F4F4F4"/>
        <w:spacing w:before="100" w:beforeAutospacing="1" w:after="100" w:afterAutospacing="1" w:line="240" w:lineRule="auto"/>
      </w:pPr>
      <w:r>
        <w:t>Member Protection Policy</w:t>
      </w:r>
    </w:p>
    <w:p w14:paraId="355F1977" w14:textId="77777777" w:rsidR="009276B0" w:rsidRDefault="009276B0" w:rsidP="009276B0">
      <w:pPr>
        <w:numPr>
          <w:ilvl w:val="0"/>
          <w:numId w:val="3"/>
        </w:numPr>
        <w:shd w:val="clear" w:color="auto" w:fill="F4F4F4"/>
        <w:spacing w:before="100" w:beforeAutospacing="1" w:after="100" w:afterAutospacing="1" w:line="240" w:lineRule="auto"/>
      </w:pPr>
      <w:r>
        <w:t>Complaints, Disputes, and Discipline Policy</w:t>
      </w:r>
    </w:p>
    <w:p w14:paraId="1C60AA5F" w14:textId="3D0D1F3B" w:rsidR="009276B0" w:rsidRDefault="009276B0" w:rsidP="009276B0">
      <w:pPr>
        <w:pStyle w:val="NormalWeb"/>
        <w:shd w:val="clear" w:color="auto" w:fill="F4F4F4"/>
        <w:spacing w:before="0" w:beforeAutospacing="0"/>
      </w:pPr>
      <w:r>
        <w:t xml:space="preserve">On Wednesday 16 November 2022, Table Tennis New South Wales adopted (Application to NSW Office of Sport – Organisation Support Program 2022/2023) the Table Tennis Australia National Integrity Framework, and to ensure compliance with the </w:t>
      </w:r>
      <w:r w:rsidR="00813595">
        <w:t>New South Wales</w:t>
      </w:r>
      <w:r>
        <w:t xml:space="preserve"> Child Safe Standards, Table Tennis New South Wales will also develop a "TTNSW Child Safeguarding Action Plan" based on the Commission for Children and Young People (CCYP) Compliance Indicators.</w:t>
      </w:r>
    </w:p>
    <w:p w14:paraId="4374C492" w14:textId="1D17B0FB" w:rsidR="009276B0" w:rsidRDefault="009276B0" w:rsidP="009276B0">
      <w:pPr>
        <w:pStyle w:val="NormalWeb"/>
        <w:shd w:val="clear" w:color="auto" w:fill="F4F4F4"/>
        <w:spacing w:before="0" w:beforeAutospacing="0"/>
      </w:pPr>
      <w:r>
        <w:t>In line with the new National Integrity Framework policies, several integrity-focused Table Tennis New South Wales By-Laws will be updated and replaced by a National Integrity Framework By-Law and there will be a broader TTNSW By-Law structure update before the end of 2023.</w:t>
      </w:r>
    </w:p>
    <w:p w14:paraId="71A5E882" w14:textId="77777777" w:rsidR="009276B0" w:rsidRDefault="00000000" w:rsidP="009276B0">
      <w:pPr>
        <w:pStyle w:val="NormalWeb"/>
        <w:shd w:val="clear" w:color="auto" w:fill="F4F4F4"/>
        <w:spacing w:before="0" w:beforeAutospacing="0"/>
        <w:jc w:val="center"/>
      </w:pPr>
      <w:hyperlink r:id="rId8" w:tgtFrame="_blank" w:history="1">
        <w:r w:rsidR="009276B0">
          <w:rPr>
            <w:rStyle w:val="Hyperlink"/>
            <w:b/>
            <w:bCs/>
            <w:caps/>
            <w:color w:val="2F4C9D"/>
            <w:u w:val="none"/>
            <w:bdr w:val="single" w:sz="6" w:space="0" w:color="2F9D90" w:frame="1"/>
            <w:shd w:val="clear" w:color="auto" w:fill="2F9D90"/>
          </w:rPr>
          <w:t>TTA NATIONAL INTEGRITY FRAMEWORK &gt;</w:t>
        </w:r>
      </w:hyperlink>
    </w:p>
    <w:p w14:paraId="7E3D1A94" w14:textId="2258DB4A" w:rsidR="00CC155C" w:rsidRDefault="00000000" w:rsidP="00CC155C">
      <w:hyperlink r:id="rId9" w:history="1">
        <w:r w:rsidR="00CC155C" w:rsidRPr="00CC155C">
          <w:rPr>
            <w:rFonts w:ascii="Roboto Condensed" w:eastAsia="Times New Roman" w:hAnsi="Roboto Condensed" w:cs="Times New Roman"/>
            <w:color w:val="2F9D90"/>
            <w:sz w:val="24"/>
            <w:szCs w:val="24"/>
            <w:shd w:val="clear" w:color="auto" w:fill="2F9D90"/>
          </w:rPr>
          <w:br/>
        </w:r>
      </w:hyperlink>
    </w:p>
    <w:sectPr w:rsidR="00CC15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56A"/>
    <w:multiLevelType w:val="multilevel"/>
    <w:tmpl w:val="86A6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51CBE"/>
    <w:multiLevelType w:val="multilevel"/>
    <w:tmpl w:val="A06C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EF14C2"/>
    <w:multiLevelType w:val="multilevel"/>
    <w:tmpl w:val="1C14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7387712">
    <w:abstractNumId w:val="2"/>
  </w:num>
  <w:num w:numId="2" w16cid:durableId="489519758">
    <w:abstractNumId w:val="0"/>
  </w:num>
  <w:num w:numId="3" w16cid:durableId="175123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5C"/>
    <w:rsid w:val="004D20F1"/>
    <w:rsid w:val="00761777"/>
    <w:rsid w:val="00813595"/>
    <w:rsid w:val="009276B0"/>
    <w:rsid w:val="00CC155C"/>
    <w:rsid w:val="00D8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62AA"/>
  <w15:chartTrackingRefBased/>
  <w15:docId w15:val="{1AF9F980-C8F9-4092-ACE4-D04976BA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15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C15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55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C155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C15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155C"/>
    <w:rPr>
      <w:color w:val="0000FF"/>
      <w:u w:val="single"/>
    </w:rPr>
  </w:style>
  <w:style w:type="character" w:customStyle="1" w:styleId="text-light">
    <w:name w:val="text-light"/>
    <w:basedOn w:val="DefaultParagraphFont"/>
    <w:rsid w:val="00CC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074144">
      <w:bodyDiv w:val="1"/>
      <w:marLeft w:val="0"/>
      <w:marRight w:val="0"/>
      <w:marTop w:val="0"/>
      <w:marBottom w:val="0"/>
      <w:divBdr>
        <w:top w:val="none" w:sz="0" w:space="0" w:color="auto"/>
        <w:left w:val="none" w:sz="0" w:space="0" w:color="auto"/>
        <w:bottom w:val="none" w:sz="0" w:space="0" w:color="auto"/>
        <w:right w:val="none" w:sz="0" w:space="0" w:color="auto"/>
      </w:divBdr>
      <w:divsChild>
        <w:div w:id="221601863">
          <w:marLeft w:val="0"/>
          <w:marRight w:val="0"/>
          <w:marTop w:val="0"/>
          <w:marBottom w:val="0"/>
          <w:divBdr>
            <w:top w:val="none" w:sz="0" w:space="0" w:color="auto"/>
            <w:left w:val="none" w:sz="0" w:space="0" w:color="auto"/>
            <w:bottom w:val="none" w:sz="0" w:space="0" w:color="auto"/>
            <w:right w:val="none" w:sz="0" w:space="0" w:color="auto"/>
          </w:divBdr>
          <w:divsChild>
            <w:div w:id="2120442594">
              <w:marLeft w:val="0"/>
              <w:marRight w:val="0"/>
              <w:marTop w:val="0"/>
              <w:marBottom w:val="0"/>
              <w:divBdr>
                <w:top w:val="none" w:sz="0" w:space="0" w:color="auto"/>
                <w:left w:val="none" w:sz="0" w:space="0" w:color="auto"/>
                <w:bottom w:val="none" w:sz="0" w:space="0" w:color="auto"/>
                <w:right w:val="none" w:sz="0" w:space="0" w:color="auto"/>
              </w:divBdr>
              <w:divsChild>
                <w:div w:id="4537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3923">
          <w:marLeft w:val="0"/>
          <w:marRight w:val="0"/>
          <w:marTop w:val="0"/>
          <w:marBottom w:val="0"/>
          <w:divBdr>
            <w:top w:val="none" w:sz="0" w:space="0" w:color="auto"/>
            <w:left w:val="none" w:sz="0" w:space="0" w:color="auto"/>
            <w:bottom w:val="none" w:sz="0" w:space="0" w:color="auto"/>
            <w:right w:val="none" w:sz="0" w:space="0" w:color="auto"/>
          </w:divBdr>
          <w:divsChild>
            <w:div w:id="1888955043">
              <w:marLeft w:val="-225"/>
              <w:marRight w:val="-225"/>
              <w:marTop w:val="0"/>
              <w:marBottom w:val="0"/>
              <w:divBdr>
                <w:top w:val="none" w:sz="0" w:space="0" w:color="auto"/>
                <w:left w:val="none" w:sz="0" w:space="0" w:color="auto"/>
                <w:bottom w:val="none" w:sz="0" w:space="0" w:color="auto"/>
                <w:right w:val="none" w:sz="0" w:space="0" w:color="auto"/>
              </w:divBdr>
              <w:divsChild>
                <w:div w:id="1464812989">
                  <w:marLeft w:val="0"/>
                  <w:marRight w:val="0"/>
                  <w:marTop w:val="0"/>
                  <w:marBottom w:val="0"/>
                  <w:divBdr>
                    <w:top w:val="none" w:sz="0" w:space="0" w:color="auto"/>
                    <w:left w:val="none" w:sz="0" w:space="0" w:color="auto"/>
                    <w:bottom w:val="none" w:sz="0" w:space="0" w:color="auto"/>
                    <w:right w:val="none" w:sz="0" w:space="0" w:color="auto"/>
                  </w:divBdr>
                  <w:divsChild>
                    <w:div w:id="1952281577">
                      <w:marLeft w:val="0"/>
                      <w:marRight w:val="0"/>
                      <w:marTop w:val="0"/>
                      <w:marBottom w:val="0"/>
                      <w:divBdr>
                        <w:top w:val="none" w:sz="0" w:space="0" w:color="auto"/>
                        <w:left w:val="none" w:sz="0" w:space="0" w:color="auto"/>
                        <w:bottom w:val="none" w:sz="0" w:space="0" w:color="auto"/>
                        <w:right w:val="none" w:sz="0" w:space="0" w:color="auto"/>
                      </w:divBdr>
                      <w:divsChild>
                        <w:div w:id="912734457">
                          <w:marLeft w:val="0"/>
                          <w:marRight w:val="0"/>
                          <w:marTop w:val="0"/>
                          <w:marBottom w:val="0"/>
                          <w:divBdr>
                            <w:top w:val="none" w:sz="0" w:space="0" w:color="auto"/>
                            <w:left w:val="none" w:sz="0" w:space="0" w:color="auto"/>
                            <w:bottom w:val="none" w:sz="0" w:space="0" w:color="auto"/>
                            <w:right w:val="none" w:sz="0" w:space="0" w:color="auto"/>
                          </w:divBdr>
                        </w:div>
                        <w:div w:id="13851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3135">
                  <w:marLeft w:val="0"/>
                  <w:marRight w:val="0"/>
                  <w:marTop w:val="0"/>
                  <w:marBottom w:val="0"/>
                  <w:divBdr>
                    <w:top w:val="none" w:sz="0" w:space="0" w:color="auto"/>
                    <w:left w:val="none" w:sz="0" w:space="0" w:color="auto"/>
                    <w:bottom w:val="none" w:sz="0" w:space="0" w:color="auto"/>
                    <w:right w:val="none" w:sz="0" w:space="0" w:color="auto"/>
                  </w:divBdr>
                  <w:divsChild>
                    <w:div w:id="901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5017">
      <w:bodyDiv w:val="1"/>
      <w:marLeft w:val="0"/>
      <w:marRight w:val="0"/>
      <w:marTop w:val="0"/>
      <w:marBottom w:val="0"/>
      <w:divBdr>
        <w:top w:val="none" w:sz="0" w:space="0" w:color="auto"/>
        <w:left w:val="none" w:sz="0" w:space="0" w:color="auto"/>
        <w:bottom w:val="none" w:sz="0" w:space="0" w:color="auto"/>
        <w:right w:val="none" w:sz="0" w:space="0" w:color="auto"/>
      </w:divBdr>
      <w:divsChild>
        <w:div w:id="1704017804">
          <w:marLeft w:val="0"/>
          <w:marRight w:val="0"/>
          <w:marTop w:val="0"/>
          <w:marBottom w:val="0"/>
          <w:divBdr>
            <w:top w:val="none" w:sz="0" w:space="0" w:color="auto"/>
            <w:left w:val="none" w:sz="0" w:space="0" w:color="auto"/>
            <w:bottom w:val="none" w:sz="0" w:space="0" w:color="auto"/>
            <w:right w:val="none" w:sz="0" w:space="0" w:color="auto"/>
          </w:divBdr>
          <w:divsChild>
            <w:div w:id="1003312453">
              <w:marLeft w:val="0"/>
              <w:marRight w:val="0"/>
              <w:marTop w:val="0"/>
              <w:marBottom w:val="0"/>
              <w:divBdr>
                <w:top w:val="none" w:sz="0" w:space="0" w:color="auto"/>
                <w:left w:val="none" w:sz="0" w:space="0" w:color="auto"/>
                <w:bottom w:val="none" w:sz="0" w:space="0" w:color="auto"/>
                <w:right w:val="none" w:sz="0" w:space="0" w:color="auto"/>
              </w:divBdr>
              <w:divsChild>
                <w:div w:id="13150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org.au/about-governance/national-integrity-framework/" TargetMode="External"/><Relationship Id="rId3" Type="http://schemas.openxmlformats.org/officeDocument/2006/relationships/settings" Target="settings.xml"/><Relationship Id="rId7" Type="http://schemas.openxmlformats.org/officeDocument/2006/relationships/hyperlink" Target="https://www.tabletennis.org.au/about-governance/national-integrity-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integrity.gov.au/" TargetMode="External"/><Relationship Id="rId11" Type="http://schemas.openxmlformats.org/officeDocument/2006/relationships/theme" Target="theme/theme1.xml"/><Relationship Id="rId5" Type="http://schemas.openxmlformats.org/officeDocument/2006/relationships/hyperlink" Target="https://www.revolutionise.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olutionis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Whiteford</dc:creator>
  <cp:keywords/>
  <dc:description/>
  <cp:lastModifiedBy>Leonie Whiteford</cp:lastModifiedBy>
  <cp:revision>2</cp:revision>
  <cp:lastPrinted>2022-12-07T04:02:00Z</cp:lastPrinted>
  <dcterms:created xsi:type="dcterms:W3CDTF">2023-01-18T05:55:00Z</dcterms:created>
  <dcterms:modified xsi:type="dcterms:W3CDTF">2023-01-18T05:55:00Z</dcterms:modified>
</cp:coreProperties>
</file>